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74" w:rsidRPr="00F86A74" w:rsidRDefault="00F86A74" w:rsidP="00F86A74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86A74">
        <w:rPr>
          <w:rFonts w:cstheme="minorHAnsi"/>
          <w:b/>
          <w:sz w:val="24"/>
          <w:szCs w:val="24"/>
        </w:rPr>
        <w:t xml:space="preserve">Zulässigkeit von Proben kleiner </w:t>
      </w:r>
      <w:r>
        <w:rPr>
          <w:rFonts w:cstheme="minorHAnsi"/>
          <w:b/>
          <w:sz w:val="24"/>
          <w:szCs w:val="24"/>
        </w:rPr>
        <w:t xml:space="preserve">kirchlicher </w:t>
      </w:r>
      <w:r w:rsidRPr="00F86A74">
        <w:rPr>
          <w:rFonts w:cstheme="minorHAnsi"/>
          <w:b/>
          <w:sz w:val="24"/>
          <w:szCs w:val="24"/>
        </w:rPr>
        <w:t xml:space="preserve">Chöre </w:t>
      </w:r>
      <w:r>
        <w:rPr>
          <w:rFonts w:cstheme="minorHAnsi"/>
          <w:b/>
          <w:sz w:val="24"/>
          <w:szCs w:val="24"/>
        </w:rPr>
        <w:t>bei</w:t>
      </w:r>
      <w:r w:rsidRPr="00F86A74">
        <w:rPr>
          <w:rFonts w:cstheme="minorHAnsi"/>
          <w:b/>
          <w:sz w:val="24"/>
          <w:szCs w:val="24"/>
        </w:rPr>
        <w:t xml:space="preserve"> </w:t>
      </w:r>
      <w:r w:rsidRPr="00F86A74">
        <w:rPr>
          <w:rFonts w:cstheme="minorHAnsi"/>
          <w:b/>
          <w:snapToGrid w:val="0"/>
          <w:sz w:val="24"/>
          <w:szCs w:val="24"/>
        </w:rPr>
        <w:t>Beachtung weitreichender Hygien</w:t>
      </w:r>
      <w:r w:rsidRPr="00F86A74">
        <w:rPr>
          <w:rFonts w:cstheme="minorHAnsi"/>
          <w:b/>
          <w:snapToGrid w:val="0"/>
          <w:sz w:val="24"/>
          <w:szCs w:val="24"/>
        </w:rPr>
        <w:t>e</w:t>
      </w:r>
      <w:r w:rsidRPr="00F86A74">
        <w:rPr>
          <w:rFonts w:cstheme="minorHAnsi"/>
          <w:b/>
          <w:snapToGrid w:val="0"/>
          <w:sz w:val="24"/>
          <w:szCs w:val="24"/>
        </w:rPr>
        <w:t>vorgaben angesichts weitreichender infektionsschützender Maßnahmen</w:t>
      </w:r>
    </w:p>
    <w:p w:rsidR="00F86A74" w:rsidRDefault="00F86A74" w:rsidP="007B50CC">
      <w:pPr>
        <w:jc w:val="both"/>
        <w:rPr>
          <w:rFonts w:cstheme="minorHAnsi"/>
          <w:sz w:val="24"/>
          <w:szCs w:val="24"/>
        </w:rPr>
      </w:pPr>
    </w:p>
    <w:p w:rsidR="00223E1E" w:rsidRPr="007B50CC" w:rsidRDefault="007B50CC" w:rsidP="007B50CC">
      <w:pPr>
        <w:jc w:val="both"/>
        <w:rPr>
          <w:rFonts w:cstheme="minorHAnsi"/>
          <w:sz w:val="24"/>
          <w:szCs w:val="24"/>
        </w:rPr>
      </w:pPr>
      <w:r w:rsidRPr="007B50CC">
        <w:rPr>
          <w:rFonts w:cstheme="minorHAnsi"/>
          <w:sz w:val="24"/>
          <w:szCs w:val="24"/>
        </w:rPr>
        <w:t>Die Durchführung und Gestaltung von Gottesdiensten ist zentrales Schutzgut der Glaubens- und Religionsfreiheitsgarantie, wie sie das Grundgesetz durch seinen Art. 4 Abs. 1 und 2 GG – sogar ohne ausdrückliche Schranken – schützt. Dies hat das Bundesverfassungsgericht wiederholt nachdrücklich festgestellt</w:t>
      </w:r>
      <w:r w:rsidR="004C257A">
        <w:rPr>
          <w:rStyle w:val="Funotenzeichen"/>
          <w:rFonts w:cstheme="minorHAnsi"/>
          <w:sz w:val="24"/>
          <w:szCs w:val="24"/>
        </w:rPr>
        <w:footnoteReference w:id="1"/>
      </w:r>
      <w:r w:rsidRPr="007B50CC">
        <w:rPr>
          <w:rFonts w:cstheme="minorHAnsi"/>
          <w:sz w:val="24"/>
          <w:szCs w:val="24"/>
        </w:rPr>
        <w:t xml:space="preserve"> und dabei dem </w:t>
      </w:r>
      <w:r w:rsidRPr="007B50CC">
        <w:rPr>
          <w:rFonts w:cstheme="minorHAnsi"/>
          <w:snapToGrid w:val="0"/>
          <w:sz w:val="24"/>
          <w:szCs w:val="24"/>
        </w:rPr>
        <w:t>Selbstverständnis der Religionsg</w:t>
      </w:r>
      <w:r w:rsidRPr="007B50CC">
        <w:rPr>
          <w:rFonts w:cstheme="minorHAnsi"/>
          <w:snapToGrid w:val="0"/>
          <w:sz w:val="24"/>
          <w:szCs w:val="24"/>
        </w:rPr>
        <w:t>e</w:t>
      </w:r>
      <w:r w:rsidRPr="007B50CC">
        <w:rPr>
          <w:rFonts w:cstheme="minorHAnsi"/>
          <w:snapToGrid w:val="0"/>
          <w:sz w:val="24"/>
          <w:szCs w:val="24"/>
        </w:rPr>
        <w:t>meinschaften eine maßgebliche Rolle zugewiesen</w:t>
      </w:r>
      <w:r w:rsidR="004C257A">
        <w:rPr>
          <w:rStyle w:val="Funotenzeichen"/>
          <w:rFonts w:cstheme="minorHAnsi"/>
          <w:snapToGrid w:val="0"/>
          <w:sz w:val="24"/>
          <w:szCs w:val="24"/>
        </w:rPr>
        <w:footnoteReference w:id="2"/>
      </w:r>
      <w:r w:rsidRPr="007B50CC">
        <w:rPr>
          <w:rFonts w:cstheme="minorHAnsi"/>
          <w:snapToGrid w:val="0"/>
          <w:sz w:val="24"/>
          <w:szCs w:val="24"/>
        </w:rPr>
        <w:t xml:space="preserve">. Nach diesem bildet die Kirchenmusik ein wesentliches Element, ja unverzichtbares Fundament </w:t>
      </w:r>
      <w:r w:rsidR="00F7604F">
        <w:rPr>
          <w:rFonts w:cstheme="minorHAnsi"/>
          <w:snapToGrid w:val="0"/>
          <w:sz w:val="24"/>
          <w:szCs w:val="24"/>
        </w:rPr>
        <w:t>der</w:t>
      </w:r>
      <w:r w:rsidRPr="007B50CC">
        <w:rPr>
          <w:rFonts w:cstheme="minorHAnsi"/>
          <w:snapToGrid w:val="0"/>
          <w:sz w:val="24"/>
          <w:szCs w:val="24"/>
        </w:rPr>
        <w:t xml:space="preserve"> Gottesdienstgestaltung in der k</w:t>
      </w:r>
      <w:r w:rsidRPr="007B50CC">
        <w:rPr>
          <w:rFonts w:cstheme="minorHAnsi"/>
          <w:snapToGrid w:val="0"/>
          <w:sz w:val="24"/>
          <w:szCs w:val="24"/>
        </w:rPr>
        <w:t>a</w:t>
      </w:r>
      <w:r w:rsidRPr="007B50CC">
        <w:rPr>
          <w:rFonts w:cstheme="minorHAnsi"/>
          <w:snapToGrid w:val="0"/>
          <w:sz w:val="24"/>
          <w:szCs w:val="24"/>
        </w:rPr>
        <w:t xml:space="preserve">tholischen Kirche. </w:t>
      </w:r>
      <w:r>
        <w:rPr>
          <w:rFonts w:cstheme="minorHAnsi"/>
          <w:snapToGrid w:val="0"/>
          <w:sz w:val="24"/>
          <w:szCs w:val="24"/>
        </w:rPr>
        <w:t>Wenn schon aufgrund infektionsschutzrechtlicher Erwägungen ein G</w:t>
      </w:r>
      <w:r>
        <w:rPr>
          <w:rFonts w:cstheme="minorHAnsi"/>
          <w:snapToGrid w:val="0"/>
          <w:sz w:val="24"/>
          <w:szCs w:val="24"/>
        </w:rPr>
        <w:t>e</w:t>
      </w:r>
      <w:r>
        <w:rPr>
          <w:rFonts w:cstheme="minorHAnsi"/>
          <w:snapToGrid w:val="0"/>
          <w:sz w:val="24"/>
          <w:szCs w:val="24"/>
        </w:rPr>
        <w:t xml:space="preserve">meindegesang nicht möglich ist, so </w:t>
      </w:r>
      <w:r w:rsidR="003165E6">
        <w:rPr>
          <w:rFonts w:cstheme="minorHAnsi"/>
          <w:snapToGrid w:val="0"/>
          <w:sz w:val="24"/>
          <w:szCs w:val="24"/>
        </w:rPr>
        <w:t xml:space="preserve">ist es unabdingbar, stattdessen kleine Chorgruppen </w:t>
      </w:r>
      <w:r w:rsidR="00585A02">
        <w:rPr>
          <w:rFonts w:cstheme="minorHAnsi"/>
          <w:snapToGrid w:val="0"/>
          <w:sz w:val="24"/>
          <w:szCs w:val="24"/>
        </w:rPr>
        <w:t xml:space="preserve">– </w:t>
      </w:r>
      <w:r w:rsidR="003165E6">
        <w:rPr>
          <w:rFonts w:cstheme="minorHAnsi"/>
          <w:snapToGrid w:val="0"/>
          <w:sz w:val="24"/>
          <w:szCs w:val="24"/>
        </w:rPr>
        <w:t>bis maximal 8 Personen</w:t>
      </w:r>
      <w:r w:rsidR="00585A02">
        <w:rPr>
          <w:rFonts w:cstheme="minorHAnsi"/>
          <w:snapToGrid w:val="0"/>
          <w:sz w:val="24"/>
          <w:szCs w:val="24"/>
        </w:rPr>
        <w:t xml:space="preserve"> unter Beachtung weitreichender Hygienevorgaben –</w:t>
      </w:r>
      <w:r w:rsidR="003165E6">
        <w:rPr>
          <w:rFonts w:cstheme="minorHAnsi"/>
          <w:snapToGrid w:val="0"/>
          <w:sz w:val="24"/>
          <w:szCs w:val="24"/>
        </w:rPr>
        <w:t xml:space="preserve"> in die Gotte</w:t>
      </w:r>
      <w:r w:rsidR="003165E6">
        <w:rPr>
          <w:rFonts w:cstheme="minorHAnsi"/>
          <w:snapToGrid w:val="0"/>
          <w:sz w:val="24"/>
          <w:szCs w:val="24"/>
        </w:rPr>
        <w:t>s</w:t>
      </w:r>
      <w:r w:rsidR="003165E6">
        <w:rPr>
          <w:rFonts w:cstheme="minorHAnsi"/>
          <w:snapToGrid w:val="0"/>
          <w:sz w:val="24"/>
          <w:szCs w:val="24"/>
        </w:rPr>
        <w:t xml:space="preserve">dienstgestaltung einzubinden. Dies vermindert das Infektionsrisiko erheblich; ein Verbot ihres Wirkens würde </w:t>
      </w:r>
      <w:r w:rsidR="004C257A">
        <w:rPr>
          <w:rFonts w:cstheme="minorHAnsi"/>
          <w:snapToGrid w:val="0"/>
          <w:sz w:val="24"/>
          <w:szCs w:val="24"/>
        </w:rPr>
        <w:t xml:space="preserve">indes </w:t>
      </w:r>
      <w:r w:rsidR="003165E6">
        <w:rPr>
          <w:rFonts w:cstheme="minorHAnsi"/>
          <w:snapToGrid w:val="0"/>
          <w:sz w:val="24"/>
          <w:szCs w:val="24"/>
        </w:rPr>
        <w:t>einen derart schwerwiegenden Eingriff in die Glaubens- und Rel</w:t>
      </w:r>
      <w:r w:rsidR="003165E6">
        <w:rPr>
          <w:rFonts w:cstheme="minorHAnsi"/>
          <w:snapToGrid w:val="0"/>
          <w:sz w:val="24"/>
          <w:szCs w:val="24"/>
        </w:rPr>
        <w:t>i</w:t>
      </w:r>
      <w:r w:rsidR="003165E6">
        <w:rPr>
          <w:rFonts w:cstheme="minorHAnsi"/>
          <w:snapToGrid w:val="0"/>
          <w:sz w:val="24"/>
          <w:szCs w:val="24"/>
        </w:rPr>
        <w:t xml:space="preserve">gionsfreiheitsgarantie bedeuten, dass er sich durch konkurrierende </w:t>
      </w:r>
      <w:r w:rsidR="00F7604F">
        <w:rPr>
          <w:rFonts w:cstheme="minorHAnsi"/>
          <w:snapToGrid w:val="0"/>
          <w:sz w:val="24"/>
          <w:szCs w:val="24"/>
        </w:rPr>
        <w:t>Verfassungswer</w:t>
      </w:r>
      <w:r w:rsidR="003165E6">
        <w:rPr>
          <w:rFonts w:cstheme="minorHAnsi"/>
          <w:snapToGrid w:val="0"/>
          <w:sz w:val="24"/>
          <w:szCs w:val="24"/>
        </w:rPr>
        <w:t>te ke</w:t>
      </w:r>
      <w:r w:rsidR="003165E6">
        <w:rPr>
          <w:rFonts w:cstheme="minorHAnsi"/>
          <w:snapToGrid w:val="0"/>
          <w:sz w:val="24"/>
          <w:szCs w:val="24"/>
        </w:rPr>
        <w:t>i</w:t>
      </w:r>
      <w:r w:rsidR="003165E6">
        <w:rPr>
          <w:rFonts w:cstheme="minorHAnsi"/>
          <w:snapToGrid w:val="0"/>
          <w:sz w:val="24"/>
          <w:szCs w:val="24"/>
        </w:rPr>
        <w:t>nesfalls mehr rechtfertigen l</w:t>
      </w:r>
      <w:r w:rsidR="00F7604F">
        <w:rPr>
          <w:rFonts w:cstheme="minorHAnsi"/>
          <w:snapToGrid w:val="0"/>
          <w:sz w:val="24"/>
          <w:szCs w:val="24"/>
        </w:rPr>
        <w:t>ieße</w:t>
      </w:r>
      <w:r w:rsidR="00585A02">
        <w:rPr>
          <w:rStyle w:val="Funotenzeichen"/>
          <w:rFonts w:cstheme="minorHAnsi"/>
          <w:snapToGrid w:val="0"/>
          <w:sz w:val="24"/>
          <w:szCs w:val="24"/>
        </w:rPr>
        <w:footnoteReference w:id="3"/>
      </w:r>
      <w:r w:rsidR="003165E6">
        <w:rPr>
          <w:rFonts w:cstheme="minorHAnsi"/>
          <w:snapToGrid w:val="0"/>
          <w:sz w:val="24"/>
          <w:szCs w:val="24"/>
        </w:rPr>
        <w:t xml:space="preserve">. Da </w:t>
      </w:r>
      <w:r w:rsidR="00F7604F">
        <w:rPr>
          <w:rFonts w:cstheme="minorHAnsi"/>
          <w:snapToGrid w:val="0"/>
          <w:sz w:val="24"/>
          <w:szCs w:val="24"/>
        </w:rPr>
        <w:t>Chöre</w:t>
      </w:r>
      <w:r w:rsidR="003165E6">
        <w:rPr>
          <w:rFonts w:cstheme="minorHAnsi"/>
          <w:snapToGrid w:val="0"/>
          <w:sz w:val="24"/>
          <w:szCs w:val="24"/>
        </w:rPr>
        <w:t xml:space="preserve"> nicht ohne Chorproben </w:t>
      </w:r>
      <w:r w:rsidR="00F7604F">
        <w:rPr>
          <w:rFonts w:cstheme="minorHAnsi"/>
          <w:snapToGrid w:val="0"/>
          <w:sz w:val="24"/>
          <w:szCs w:val="24"/>
        </w:rPr>
        <w:t>singen können</w:t>
      </w:r>
      <w:r w:rsidR="003165E6">
        <w:rPr>
          <w:rFonts w:cstheme="minorHAnsi"/>
          <w:snapToGrid w:val="0"/>
          <w:sz w:val="24"/>
          <w:szCs w:val="24"/>
        </w:rPr>
        <w:t>, sind di</w:t>
      </w:r>
      <w:r w:rsidR="003165E6">
        <w:rPr>
          <w:rFonts w:cstheme="minorHAnsi"/>
          <w:snapToGrid w:val="0"/>
          <w:sz w:val="24"/>
          <w:szCs w:val="24"/>
        </w:rPr>
        <w:t>e</w:t>
      </w:r>
      <w:r w:rsidR="003165E6">
        <w:rPr>
          <w:rFonts w:cstheme="minorHAnsi"/>
          <w:snapToGrid w:val="0"/>
          <w:sz w:val="24"/>
          <w:szCs w:val="24"/>
        </w:rPr>
        <w:t xml:space="preserve">se </w:t>
      </w:r>
      <w:r w:rsidR="004C257A">
        <w:rPr>
          <w:rFonts w:cstheme="minorHAnsi"/>
          <w:snapToGrid w:val="0"/>
          <w:sz w:val="24"/>
          <w:szCs w:val="24"/>
        </w:rPr>
        <w:t>–</w:t>
      </w:r>
      <w:r w:rsidR="003165E6">
        <w:rPr>
          <w:rFonts w:cstheme="minorHAnsi"/>
          <w:snapToGrid w:val="0"/>
          <w:sz w:val="24"/>
          <w:szCs w:val="24"/>
        </w:rPr>
        <w:t xml:space="preserve"> im </w:t>
      </w:r>
      <w:r w:rsidR="00F7604F">
        <w:rPr>
          <w:rFonts w:cstheme="minorHAnsi"/>
          <w:snapToGrid w:val="0"/>
          <w:sz w:val="24"/>
          <w:szCs w:val="24"/>
        </w:rPr>
        <w:t xml:space="preserve">unbedingt </w:t>
      </w:r>
      <w:r w:rsidR="003165E6">
        <w:rPr>
          <w:rFonts w:cstheme="minorHAnsi"/>
          <w:snapToGrid w:val="0"/>
          <w:sz w:val="24"/>
          <w:szCs w:val="24"/>
        </w:rPr>
        <w:t>n</w:t>
      </w:r>
      <w:r w:rsidR="00F7604F">
        <w:rPr>
          <w:rFonts w:cstheme="minorHAnsi"/>
          <w:snapToGrid w:val="0"/>
          <w:sz w:val="24"/>
          <w:szCs w:val="24"/>
        </w:rPr>
        <w:t>ötig</w:t>
      </w:r>
      <w:r w:rsidR="003165E6">
        <w:rPr>
          <w:rFonts w:cstheme="minorHAnsi"/>
          <w:snapToGrid w:val="0"/>
          <w:sz w:val="24"/>
          <w:szCs w:val="24"/>
        </w:rPr>
        <w:t>en Maß</w:t>
      </w:r>
      <w:r w:rsidR="00F7604F">
        <w:rPr>
          <w:rFonts w:cstheme="minorHAnsi"/>
          <w:snapToGrid w:val="0"/>
          <w:sz w:val="24"/>
          <w:szCs w:val="24"/>
        </w:rPr>
        <w:t xml:space="preserve"> </w:t>
      </w:r>
      <w:r w:rsidR="00585A02">
        <w:rPr>
          <w:rFonts w:cstheme="minorHAnsi"/>
          <w:snapToGrid w:val="0"/>
          <w:sz w:val="24"/>
          <w:szCs w:val="24"/>
        </w:rPr>
        <w:t>und ebenfalls bei Beachtung weitreichender Hygienevorg</w:t>
      </w:r>
      <w:r w:rsidR="00585A02">
        <w:rPr>
          <w:rFonts w:cstheme="minorHAnsi"/>
          <w:snapToGrid w:val="0"/>
          <w:sz w:val="24"/>
          <w:szCs w:val="24"/>
        </w:rPr>
        <w:t>a</w:t>
      </w:r>
      <w:r w:rsidR="00585A02">
        <w:rPr>
          <w:rFonts w:cstheme="minorHAnsi"/>
          <w:snapToGrid w:val="0"/>
          <w:sz w:val="24"/>
          <w:szCs w:val="24"/>
        </w:rPr>
        <w:t xml:space="preserve">ben </w:t>
      </w:r>
      <w:r w:rsidR="00F7604F">
        <w:rPr>
          <w:rFonts w:cstheme="minorHAnsi"/>
          <w:snapToGrid w:val="0"/>
          <w:sz w:val="24"/>
          <w:szCs w:val="24"/>
        </w:rPr>
        <w:t>–</w:t>
      </w:r>
      <w:r w:rsidR="003165E6">
        <w:rPr>
          <w:rFonts w:cstheme="minorHAnsi"/>
          <w:snapToGrid w:val="0"/>
          <w:sz w:val="24"/>
          <w:szCs w:val="24"/>
        </w:rPr>
        <w:t xml:space="preserve"> ebenfalls von der Religionsfreiheitsgarantie abwägungsfest geschützt.</w:t>
      </w:r>
    </w:p>
    <w:sectPr w:rsidR="00223E1E" w:rsidRPr="007B50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7A" w:rsidRDefault="004C257A" w:rsidP="004C257A">
      <w:pPr>
        <w:spacing w:after="0" w:line="240" w:lineRule="auto"/>
      </w:pPr>
      <w:r>
        <w:separator/>
      </w:r>
    </w:p>
  </w:endnote>
  <w:endnote w:type="continuationSeparator" w:id="0">
    <w:p w:rsidR="004C257A" w:rsidRDefault="004C257A" w:rsidP="004C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7A" w:rsidRDefault="004C257A" w:rsidP="004C257A">
      <w:pPr>
        <w:spacing w:after="0" w:line="240" w:lineRule="auto"/>
      </w:pPr>
      <w:r>
        <w:separator/>
      </w:r>
    </w:p>
  </w:footnote>
  <w:footnote w:type="continuationSeparator" w:id="0">
    <w:p w:rsidR="004C257A" w:rsidRDefault="004C257A" w:rsidP="004C257A">
      <w:pPr>
        <w:spacing w:after="0" w:line="240" w:lineRule="auto"/>
      </w:pPr>
      <w:r>
        <w:continuationSeparator/>
      </w:r>
    </w:p>
  </w:footnote>
  <w:footnote w:id="1">
    <w:p w:rsidR="004C257A" w:rsidRPr="00AA1E5B" w:rsidRDefault="004C257A">
      <w:pPr>
        <w:pStyle w:val="Funotentext"/>
        <w:rPr>
          <w:rFonts w:cstheme="minorHAnsi"/>
          <w:b/>
          <w:sz w:val="22"/>
          <w:szCs w:val="22"/>
        </w:rPr>
      </w:pPr>
      <w:r w:rsidRPr="00AA1E5B">
        <w:rPr>
          <w:rStyle w:val="Funotenzeichen"/>
          <w:sz w:val="22"/>
          <w:szCs w:val="22"/>
        </w:rPr>
        <w:footnoteRef/>
      </w:r>
      <w:r w:rsidRPr="00AA1E5B">
        <w:rPr>
          <w:sz w:val="22"/>
          <w:szCs w:val="22"/>
        </w:rPr>
        <w:t xml:space="preserve"> </w:t>
      </w:r>
      <w:r w:rsidRPr="00AA1E5B">
        <w:rPr>
          <w:rFonts w:cstheme="minorHAnsi"/>
          <w:sz w:val="22"/>
          <w:szCs w:val="22"/>
        </w:rPr>
        <w:t xml:space="preserve">Zuletzt: </w:t>
      </w:r>
      <w:r w:rsidRPr="00AA1E5B">
        <w:rPr>
          <w:rFonts w:cstheme="minorHAnsi"/>
          <w:i/>
          <w:color w:val="000000"/>
          <w:sz w:val="22"/>
          <w:szCs w:val="22"/>
        </w:rPr>
        <w:t xml:space="preserve">BVerfG, </w:t>
      </w:r>
      <w:r w:rsidRPr="00AA1E5B">
        <w:rPr>
          <w:rStyle w:val="Fett"/>
          <w:rFonts w:cstheme="minorHAnsi"/>
          <w:b w:val="0"/>
          <w:sz w:val="22"/>
          <w:szCs w:val="22"/>
        </w:rPr>
        <w:t xml:space="preserve">NJW 2020, 1427 = </w:t>
      </w:r>
      <w:proofErr w:type="spellStart"/>
      <w:r w:rsidRPr="00AA1E5B">
        <w:rPr>
          <w:rStyle w:val="Fett"/>
          <w:rFonts w:cstheme="minorHAnsi"/>
          <w:b w:val="0"/>
          <w:sz w:val="22"/>
          <w:szCs w:val="22"/>
        </w:rPr>
        <w:t>NVwZ</w:t>
      </w:r>
      <w:proofErr w:type="spellEnd"/>
      <w:r w:rsidRPr="00AA1E5B">
        <w:rPr>
          <w:rStyle w:val="Fett"/>
          <w:rFonts w:cstheme="minorHAnsi"/>
          <w:b w:val="0"/>
          <w:sz w:val="22"/>
          <w:szCs w:val="22"/>
        </w:rPr>
        <w:t xml:space="preserve"> 2020, 878</w:t>
      </w:r>
      <w:r w:rsidR="00ED5230" w:rsidRPr="00AA1E5B">
        <w:rPr>
          <w:rStyle w:val="Fett"/>
          <w:rFonts w:cstheme="minorHAnsi"/>
          <w:b w:val="0"/>
          <w:sz w:val="22"/>
          <w:szCs w:val="22"/>
        </w:rPr>
        <w:t>;</w:t>
      </w:r>
      <w:r w:rsidR="00ED5230" w:rsidRPr="00AA1E5B">
        <w:rPr>
          <w:rStyle w:val="Fett"/>
          <w:rFonts w:cstheme="minorHAnsi"/>
          <w:sz w:val="22"/>
          <w:szCs w:val="22"/>
        </w:rPr>
        <w:t xml:space="preserve"> </w:t>
      </w:r>
      <w:r w:rsidR="00ED5230" w:rsidRPr="00AA1E5B">
        <w:rPr>
          <w:rFonts w:cstheme="minorHAnsi"/>
          <w:i/>
          <w:color w:val="000000"/>
          <w:sz w:val="22"/>
          <w:szCs w:val="22"/>
        </w:rPr>
        <w:t xml:space="preserve">BVerfG, </w:t>
      </w:r>
      <w:proofErr w:type="spellStart"/>
      <w:r w:rsidR="00ED5230" w:rsidRPr="00AA1E5B">
        <w:rPr>
          <w:rStyle w:val="Fett"/>
          <w:rFonts w:cstheme="minorHAnsi"/>
          <w:b w:val="0"/>
          <w:sz w:val="22"/>
          <w:szCs w:val="22"/>
        </w:rPr>
        <w:t>NVwZ</w:t>
      </w:r>
      <w:proofErr w:type="spellEnd"/>
      <w:r w:rsidR="00ED5230" w:rsidRPr="00AA1E5B">
        <w:rPr>
          <w:rStyle w:val="Fett"/>
          <w:rFonts w:cstheme="minorHAnsi"/>
          <w:b w:val="0"/>
          <w:sz w:val="22"/>
          <w:szCs w:val="22"/>
        </w:rPr>
        <w:t xml:space="preserve"> 2020, 783</w:t>
      </w:r>
      <w:r w:rsidRPr="00AA1E5B">
        <w:rPr>
          <w:rStyle w:val="Fett"/>
          <w:rFonts w:cstheme="minorHAnsi"/>
          <w:b w:val="0"/>
          <w:sz w:val="22"/>
          <w:szCs w:val="22"/>
        </w:rPr>
        <w:t xml:space="preserve">: </w:t>
      </w:r>
      <w:r w:rsidR="00ED5230" w:rsidRPr="00AA1E5B">
        <w:rPr>
          <w:rStyle w:val="Fett"/>
          <w:rFonts w:cstheme="minorHAnsi"/>
          <w:b w:val="0"/>
          <w:sz w:val="22"/>
          <w:szCs w:val="22"/>
        </w:rPr>
        <w:t xml:space="preserve">beide zu </w:t>
      </w:r>
      <w:r w:rsidRPr="00AA1E5B">
        <w:rPr>
          <w:rStyle w:val="Fett"/>
          <w:rFonts w:cstheme="minorHAnsi"/>
          <w:b w:val="0"/>
          <w:sz w:val="22"/>
          <w:szCs w:val="22"/>
        </w:rPr>
        <w:t>Gotte</w:t>
      </w:r>
      <w:r w:rsidRPr="00AA1E5B">
        <w:rPr>
          <w:rStyle w:val="Fett"/>
          <w:rFonts w:cstheme="minorHAnsi"/>
          <w:b w:val="0"/>
          <w:sz w:val="22"/>
          <w:szCs w:val="22"/>
        </w:rPr>
        <w:t>s</w:t>
      </w:r>
      <w:r w:rsidRPr="00AA1E5B">
        <w:rPr>
          <w:rStyle w:val="Fett"/>
          <w:rFonts w:cstheme="minorHAnsi"/>
          <w:b w:val="0"/>
          <w:sz w:val="22"/>
          <w:szCs w:val="22"/>
        </w:rPr>
        <w:t>dienstverbot</w:t>
      </w:r>
      <w:r w:rsidR="00ED5230" w:rsidRPr="00AA1E5B">
        <w:rPr>
          <w:rStyle w:val="Fett"/>
          <w:rFonts w:cstheme="minorHAnsi"/>
          <w:b w:val="0"/>
          <w:sz w:val="22"/>
          <w:szCs w:val="22"/>
        </w:rPr>
        <w:t>en</w:t>
      </w:r>
      <w:r w:rsidRPr="00AA1E5B">
        <w:rPr>
          <w:rStyle w:val="Fett"/>
          <w:rFonts w:cstheme="minorHAnsi"/>
          <w:b w:val="0"/>
          <w:sz w:val="22"/>
          <w:szCs w:val="22"/>
        </w:rPr>
        <w:t xml:space="preserve"> wegen Corona-Pandemie</w:t>
      </w:r>
      <w:r w:rsidR="00AA1E5B">
        <w:rPr>
          <w:rStyle w:val="Fett"/>
          <w:rFonts w:cstheme="minorHAnsi"/>
          <w:b w:val="0"/>
          <w:sz w:val="22"/>
          <w:szCs w:val="22"/>
        </w:rPr>
        <w:t xml:space="preserve">; früher: </w:t>
      </w:r>
      <w:r w:rsidR="00AA1E5B" w:rsidRPr="00AA1E5B">
        <w:rPr>
          <w:rFonts w:cstheme="minorHAnsi"/>
          <w:i/>
          <w:snapToGrid w:val="0"/>
          <w:sz w:val="22"/>
          <w:szCs w:val="22"/>
        </w:rPr>
        <w:t>BVerfGE</w:t>
      </w:r>
      <w:r w:rsidR="00AA1E5B" w:rsidRPr="00AA1E5B">
        <w:rPr>
          <w:rFonts w:cstheme="minorHAnsi"/>
          <w:snapToGrid w:val="0"/>
          <w:sz w:val="22"/>
          <w:szCs w:val="22"/>
        </w:rPr>
        <w:t xml:space="preserve"> 24, 236 ff. – Aktion Rumpelkammer; </w:t>
      </w:r>
      <w:r w:rsidR="00AA1E5B" w:rsidRPr="00AA1E5B">
        <w:rPr>
          <w:rFonts w:cstheme="minorHAnsi"/>
          <w:bCs/>
          <w:i/>
          <w:iCs/>
          <w:sz w:val="22"/>
          <w:szCs w:val="22"/>
        </w:rPr>
        <w:t>BVerfG</w:t>
      </w:r>
      <w:r w:rsidR="00AA1E5B" w:rsidRPr="00AA1E5B">
        <w:rPr>
          <w:rFonts w:cstheme="minorHAnsi"/>
          <w:bCs/>
          <w:sz w:val="22"/>
          <w:szCs w:val="22"/>
        </w:rPr>
        <w:t xml:space="preserve">, DÖV 2007, 202 – </w:t>
      </w:r>
      <w:proofErr w:type="spellStart"/>
      <w:r w:rsidR="00AA1E5B" w:rsidRPr="00AA1E5B">
        <w:rPr>
          <w:rFonts w:cstheme="minorHAnsi"/>
          <w:bCs/>
          <w:sz w:val="22"/>
          <w:szCs w:val="22"/>
        </w:rPr>
        <w:t>Mun</w:t>
      </w:r>
      <w:proofErr w:type="spellEnd"/>
      <w:r w:rsidR="00ED5230" w:rsidRPr="00AA1E5B">
        <w:rPr>
          <w:rStyle w:val="Fett"/>
          <w:rFonts w:cstheme="minorHAnsi"/>
          <w:b w:val="0"/>
          <w:sz w:val="22"/>
          <w:szCs w:val="22"/>
        </w:rPr>
        <w:t>.</w:t>
      </w:r>
    </w:p>
  </w:footnote>
  <w:footnote w:id="2">
    <w:p w:rsidR="004C257A" w:rsidRPr="00AA1E5B" w:rsidRDefault="004C257A">
      <w:pPr>
        <w:pStyle w:val="Funotentext"/>
        <w:rPr>
          <w:rFonts w:cstheme="minorHAnsi"/>
          <w:bCs/>
          <w:sz w:val="22"/>
          <w:szCs w:val="22"/>
        </w:rPr>
      </w:pPr>
      <w:r w:rsidRPr="00AA1E5B">
        <w:rPr>
          <w:rStyle w:val="Funotenzeichen"/>
          <w:rFonts w:cstheme="minorHAnsi"/>
          <w:sz w:val="22"/>
          <w:szCs w:val="22"/>
        </w:rPr>
        <w:footnoteRef/>
      </w:r>
      <w:r w:rsidRPr="00AA1E5B">
        <w:rPr>
          <w:rFonts w:cstheme="minorHAnsi"/>
          <w:sz w:val="22"/>
          <w:szCs w:val="22"/>
        </w:rPr>
        <w:t xml:space="preserve"> </w:t>
      </w:r>
      <w:r w:rsidRPr="00AA1E5B">
        <w:rPr>
          <w:rFonts w:cstheme="minorHAnsi"/>
          <w:i/>
          <w:snapToGrid w:val="0"/>
          <w:sz w:val="22"/>
          <w:szCs w:val="22"/>
        </w:rPr>
        <w:t>BVerfGE</w:t>
      </w:r>
      <w:r w:rsidRPr="00AA1E5B">
        <w:rPr>
          <w:rFonts w:cstheme="minorHAnsi"/>
          <w:snapToGrid w:val="0"/>
          <w:sz w:val="22"/>
          <w:szCs w:val="22"/>
        </w:rPr>
        <w:t xml:space="preserve"> 24, 236 ff.; </w:t>
      </w:r>
      <w:r w:rsidRPr="00AA1E5B">
        <w:rPr>
          <w:rFonts w:cstheme="minorHAnsi"/>
          <w:bCs/>
          <w:i/>
          <w:iCs/>
          <w:sz w:val="22"/>
          <w:szCs w:val="22"/>
        </w:rPr>
        <w:t>BVerfG</w:t>
      </w:r>
      <w:r w:rsidRPr="00AA1E5B">
        <w:rPr>
          <w:rFonts w:cstheme="minorHAnsi"/>
          <w:bCs/>
          <w:sz w:val="22"/>
          <w:szCs w:val="22"/>
        </w:rPr>
        <w:t xml:space="preserve">, DÖV 2007, 202; </w:t>
      </w:r>
      <w:r w:rsidR="00AA1E5B" w:rsidRPr="00AA1E5B">
        <w:rPr>
          <w:rFonts w:cstheme="minorHAnsi"/>
          <w:i/>
          <w:iCs/>
          <w:sz w:val="22"/>
          <w:szCs w:val="22"/>
        </w:rPr>
        <w:t>BVerfGE</w:t>
      </w:r>
      <w:r w:rsidR="00AA1E5B" w:rsidRPr="00AA1E5B">
        <w:rPr>
          <w:rFonts w:cstheme="minorHAnsi"/>
          <w:sz w:val="22"/>
          <w:szCs w:val="22"/>
        </w:rPr>
        <w:t>, 137, 273 [Tz. 102]</w:t>
      </w:r>
      <w:r w:rsidR="00AA1E5B">
        <w:rPr>
          <w:rFonts w:cstheme="minorHAnsi"/>
          <w:sz w:val="22"/>
          <w:szCs w:val="22"/>
        </w:rPr>
        <w:t xml:space="preserve"> - Chefarzt.</w:t>
      </w:r>
    </w:p>
  </w:footnote>
  <w:footnote w:id="3">
    <w:p w:rsidR="00585A02" w:rsidRPr="00E717A7" w:rsidRDefault="00585A02">
      <w:pPr>
        <w:pStyle w:val="Funotentext"/>
        <w:rPr>
          <w:rFonts w:cstheme="minorHAnsi"/>
          <w:sz w:val="22"/>
          <w:szCs w:val="22"/>
        </w:rPr>
      </w:pPr>
      <w:r w:rsidRPr="00E717A7">
        <w:rPr>
          <w:rStyle w:val="Funotenzeichen"/>
          <w:rFonts w:cstheme="minorHAnsi"/>
          <w:sz w:val="22"/>
          <w:szCs w:val="22"/>
        </w:rPr>
        <w:footnoteRef/>
      </w:r>
      <w:r w:rsidRPr="00E717A7">
        <w:rPr>
          <w:rFonts w:cstheme="minorHAnsi"/>
          <w:sz w:val="22"/>
          <w:szCs w:val="22"/>
        </w:rPr>
        <w:t xml:space="preserve"> Zur Bedeutung </w:t>
      </w:r>
      <w:r w:rsidR="00E717A7">
        <w:rPr>
          <w:rFonts w:cstheme="minorHAnsi"/>
          <w:sz w:val="22"/>
          <w:szCs w:val="22"/>
        </w:rPr>
        <w:t xml:space="preserve">der hier notwendigen </w:t>
      </w:r>
      <w:r w:rsidRPr="00E717A7">
        <w:rPr>
          <w:rFonts w:cstheme="minorHAnsi"/>
          <w:sz w:val="22"/>
          <w:szCs w:val="22"/>
        </w:rPr>
        <w:t xml:space="preserve">sachgerechter Abwägung unter </w:t>
      </w:r>
      <w:r w:rsidR="00E717A7" w:rsidRPr="00E717A7">
        <w:rPr>
          <w:rFonts w:cstheme="minorHAnsi"/>
          <w:sz w:val="22"/>
          <w:szCs w:val="22"/>
        </w:rPr>
        <w:t xml:space="preserve">umfassender Würdigung aller konkreten Umstände und strenger Prüfung der Verhältnismäßigkeit: </w:t>
      </w:r>
      <w:r w:rsidRPr="00E717A7">
        <w:rPr>
          <w:rFonts w:cstheme="minorHAnsi"/>
          <w:i/>
          <w:color w:val="000000"/>
          <w:sz w:val="22"/>
          <w:szCs w:val="22"/>
        </w:rPr>
        <w:t xml:space="preserve">BVerfG, </w:t>
      </w:r>
      <w:proofErr w:type="spellStart"/>
      <w:r w:rsidRPr="00E717A7">
        <w:rPr>
          <w:rStyle w:val="Fett"/>
          <w:rFonts w:cstheme="minorHAnsi"/>
          <w:b w:val="0"/>
          <w:sz w:val="22"/>
          <w:szCs w:val="22"/>
        </w:rPr>
        <w:t>NVwZ</w:t>
      </w:r>
      <w:proofErr w:type="spellEnd"/>
      <w:r w:rsidRPr="00E717A7">
        <w:rPr>
          <w:rStyle w:val="Fett"/>
          <w:rFonts w:cstheme="minorHAnsi"/>
          <w:b w:val="0"/>
          <w:sz w:val="22"/>
          <w:szCs w:val="22"/>
        </w:rPr>
        <w:t xml:space="preserve"> 2020, 783, aber auch schon</w:t>
      </w:r>
      <w:r w:rsidRPr="00E717A7">
        <w:rPr>
          <w:rStyle w:val="Fett"/>
          <w:rFonts w:cstheme="minorHAnsi"/>
          <w:sz w:val="22"/>
          <w:szCs w:val="22"/>
        </w:rPr>
        <w:t xml:space="preserve"> </w:t>
      </w:r>
      <w:r w:rsidRPr="00E717A7">
        <w:rPr>
          <w:rFonts w:cstheme="minorHAnsi"/>
          <w:i/>
          <w:color w:val="000000"/>
          <w:sz w:val="22"/>
          <w:szCs w:val="22"/>
        </w:rPr>
        <w:t xml:space="preserve">BVerfG, </w:t>
      </w:r>
      <w:r w:rsidRPr="00E717A7">
        <w:rPr>
          <w:rStyle w:val="Fett"/>
          <w:rFonts w:cstheme="minorHAnsi"/>
          <w:b w:val="0"/>
          <w:sz w:val="22"/>
          <w:szCs w:val="22"/>
        </w:rPr>
        <w:t xml:space="preserve">NJW 2020, 1427 = </w:t>
      </w:r>
      <w:proofErr w:type="spellStart"/>
      <w:r w:rsidRPr="00E717A7">
        <w:rPr>
          <w:rStyle w:val="Fett"/>
          <w:rFonts w:cstheme="minorHAnsi"/>
          <w:b w:val="0"/>
          <w:sz w:val="22"/>
          <w:szCs w:val="22"/>
        </w:rPr>
        <w:t>NVwZ</w:t>
      </w:r>
      <w:proofErr w:type="spellEnd"/>
      <w:r w:rsidRPr="00E717A7">
        <w:rPr>
          <w:rStyle w:val="Fett"/>
          <w:rFonts w:cstheme="minorHAnsi"/>
          <w:b w:val="0"/>
          <w:sz w:val="22"/>
          <w:szCs w:val="22"/>
        </w:rPr>
        <w:t xml:space="preserve"> 2020, 878</w:t>
      </w:r>
      <w:r w:rsidR="00E717A7" w:rsidRPr="00E717A7">
        <w:rPr>
          <w:rStyle w:val="Fett"/>
          <w:rFonts w:cstheme="minorHAnsi"/>
          <w:b w:val="0"/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CC"/>
    <w:rsid w:val="001C304D"/>
    <w:rsid w:val="003165E6"/>
    <w:rsid w:val="004C257A"/>
    <w:rsid w:val="004F196F"/>
    <w:rsid w:val="00585A02"/>
    <w:rsid w:val="006E182E"/>
    <w:rsid w:val="007B50CC"/>
    <w:rsid w:val="00856998"/>
    <w:rsid w:val="008E5A8A"/>
    <w:rsid w:val="00AA1E5B"/>
    <w:rsid w:val="00D067EF"/>
    <w:rsid w:val="00DB2BEE"/>
    <w:rsid w:val="00E717A7"/>
    <w:rsid w:val="00ED5230"/>
    <w:rsid w:val="00F7604F"/>
    <w:rsid w:val="00F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4C257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257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257A"/>
    <w:rPr>
      <w:vertAlign w:val="superscript"/>
    </w:rPr>
  </w:style>
  <w:style w:type="character" w:styleId="Fett">
    <w:name w:val="Strong"/>
    <w:uiPriority w:val="22"/>
    <w:qFormat/>
    <w:rsid w:val="004C2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4C257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257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257A"/>
    <w:rPr>
      <w:vertAlign w:val="superscript"/>
    </w:rPr>
  </w:style>
  <w:style w:type="character" w:styleId="Fett">
    <w:name w:val="Strong"/>
    <w:uiPriority w:val="22"/>
    <w:qFormat/>
    <w:rsid w:val="004C2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2DCD-C652-4C1E-B4F8-4868950C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907B1331.dotm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fhammer</dc:creator>
  <cp:lastModifiedBy>Walter Hirt</cp:lastModifiedBy>
  <cp:revision>2</cp:revision>
  <dcterms:created xsi:type="dcterms:W3CDTF">2020-11-03T10:30:00Z</dcterms:created>
  <dcterms:modified xsi:type="dcterms:W3CDTF">2020-11-03T10:30:00Z</dcterms:modified>
</cp:coreProperties>
</file>